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46D96">
      <w:pPr>
        <w:jc w:val="center"/>
        <w:rPr>
          <w:rFonts w:hint="eastAsia" w:ascii="方正小标宋_GBK" w:hAnsi="方正小标宋_GBK" w:eastAsia="方正小标宋_GBK" w:cs="方正小标宋_GBK"/>
          <w:b/>
          <w:color w:val="000000" w:themeColor="text1"/>
          <w:sz w:val="36"/>
          <w:szCs w:val="36"/>
          <w:lang w:val="en-US" w:eastAsia="zh-CN"/>
          <w14:textFill>
            <w14:solidFill>
              <w14:schemeClr w14:val="tx1"/>
            </w14:solidFill>
          </w14:textFill>
        </w:rPr>
      </w:pPr>
      <w:bookmarkStart w:id="0" w:name="_Toc849"/>
      <w:r>
        <w:rPr>
          <w:rFonts w:hint="eastAsia" w:ascii="方正小标宋_GBK" w:hAnsi="方正小标宋_GBK" w:eastAsia="方正小标宋_GBK" w:cs="方正小标宋_GBK"/>
          <w:bCs/>
          <w:color w:val="000000" w:themeColor="text1"/>
          <w:sz w:val="36"/>
          <w:szCs w:val="36"/>
          <w14:textFill>
            <w14:solidFill>
              <w14:schemeClr w14:val="tx1"/>
            </w14:solidFill>
          </w14:textFill>
        </w:rPr>
        <w:t>宁波市青年科技创新奖</w:t>
      </w:r>
      <w:bookmarkEnd w:id="0"/>
      <w:r>
        <w:rPr>
          <w:rFonts w:hint="eastAsia" w:ascii="方正小标宋_GBK" w:hAnsi="方正小标宋_GBK" w:eastAsia="方正小标宋_GBK" w:cs="方正小标宋_GBK"/>
          <w:bCs/>
          <w:color w:val="000000" w:themeColor="text1"/>
          <w:sz w:val="36"/>
          <w:szCs w:val="36"/>
          <w:lang w:val="en-US" w:eastAsia="zh-CN"/>
          <w14:textFill>
            <w14:solidFill>
              <w14:schemeClr w14:val="tx1"/>
            </w14:solidFill>
          </w14:textFill>
        </w:rPr>
        <w:t>公示</w:t>
      </w:r>
      <w:bookmarkStart w:id="10" w:name="_GoBack"/>
      <w:bookmarkEnd w:id="10"/>
    </w:p>
    <w:p w14:paraId="1328A705">
      <w:pPr>
        <w:pStyle w:val="17"/>
        <w:spacing w:line="240" w:lineRule="auto"/>
        <w:ind w:firstLine="0" w:firstLineChars="0"/>
        <w:jc w:val="center"/>
      </w:pPr>
      <w:r>
        <w:rPr>
          <w:rFonts w:ascii="Times New Roman" w:eastAsia="仿宋_GB2312"/>
          <w:color w:val="000000" w:themeColor="text1"/>
          <w:sz w:val="28"/>
          <w14:textFill>
            <w14:solidFill>
              <w14:schemeClr w14:val="tx1"/>
            </w14:solidFill>
          </w14:textFill>
        </w:rPr>
        <w:t xml:space="preserve"> (202</w:t>
      </w:r>
      <w:r>
        <w:rPr>
          <w:rFonts w:hint="eastAsia" w:ascii="Times New Roman" w:eastAsia="仿宋_GB2312"/>
          <w:color w:val="000000" w:themeColor="text1"/>
          <w:sz w:val="28"/>
          <w14:textFill>
            <w14:solidFill>
              <w14:schemeClr w14:val="tx1"/>
            </w14:solidFill>
          </w14:textFill>
        </w:rPr>
        <w:t>4</w:t>
      </w:r>
      <w:r>
        <w:rPr>
          <w:rFonts w:ascii="Times New Roman" w:eastAsia="仿宋_GB2312"/>
          <w:color w:val="000000" w:themeColor="text1"/>
          <w:sz w:val="28"/>
          <w14:textFill>
            <w14:solidFill>
              <w14:schemeClr w14:val="tx1"/>
            </w14:solidFill>
          </w14:textFill>
        </w:rPr>
        <w:t>年度)</w:t>
      </w:r>
    </w:p>
    <w:p w14:paraId="12A6419A">
      <w:pPr>
        <w:pStyle w:val="17"/>
        <w:spacing w:line="240" w:lineRule="auto"/>
        <w:ind w:firstLine="0" w:firstLineChars="0"/>
        <w:jc w:val="center"/>
        <w:rPr>
          <w:rFonts w:ascii="Times New Roman" w:eastAsia="方正黑体简体"/>
          <w:color w:val="000000" w:themeColor="text1"/>
          <w:sz w:val="32"/>
          <w14:textFill>
            <w14:solidFill>
              <w14:schemeClr w14:val="tx1"/>
            </w14:solidFill>
          </w14:textFill>
        </w:rPr>
      </w:pPr>
      <w:r>
        <w:rPr>
          <w:rFonts w:ascii="Times New Roman" w:eastAsia="方正黑体简体"/>
          <w:color w:val="000000" w:themeColor="text1"/>
          <w:sz w:val="32"/>
          <w14:textFill>
            <w14:solidFill>
              <w14:schemeClr w14:val="tx1"/>
            </w14:solidFill>
          </w14:textFill>
        </w:rPr>
        <w:t>一、被提名人基本情况</w:t>
      </w:r>
    </w:p>
    <w:p w14:paraId="36B36037">
      <w:pPr>
        <w:pStyle w:val="17"/>
        <w:spacing w:line="240" w:lineRule="auto"/>
        <w:ind w:firstLine="0" w:firstLineChars="0"/>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项目编号：</w:t>
      </w:r>
    </w:p>
    <w:tbl>
      <w:tblPr>
        <w:tblStyle w:val="12"/>
        <w:tblW w:w="959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52"/>
        <w:gridCol w:w="1560"/>
        <w:gridCol w:w="1417"/>
        <w:gridCol w:w="1843"/>
        <w:gridCol w:w="1418"/>
        <w:gridCol w:w="1707"/>
      </w:tblGrid>
      <w:tr w14:paraId="313846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52" w:type="dxa"/>
            <w:vAlign w:val="center"/>
          </w:tcPr>
          <w:p w14:paraId="6AF84336">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提名者</w:t>
            </w:r>
          </w:p>
        </w:tc>
        <w:tc>
          <w:tcPr>
            <w:tcW w:w="7945" w:type="dxa"/>
            <w:gridSpan w:val="5"/>
            <w:vAlign w:val="center"/>
          </w:tcPr>
          <w:p w14:paraId="52423025">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中国科学院宁波材料技术与工程研究所</w:t>
            </w:r>
          </w:p>
        </w:tc>
      </w:tr>
      <w:tr w14:paraId="677110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2" w:hRule="atLeast"/>
          <w:jc w:val="center"/>
        </w:trPr>
        <w:tc>
          <w:tcPr>
            <w:tcW w:w="1652" w:type="dxa"/>
            <w:vAlign w:val="center"/>
          </w:tcPr>
          <w:p w14:paraId="691A047C">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姓    名</w:t>
            </w:r>
          </w:p>
        </w:tc>
        <w:tc>
          <w:tcPr>
            <w:tcW w:w="1560" w:type="dxa"/>
            <w:vAlign w:val="center"/>
          </w:tcPr>
          <w:p w14:paraId="30712F55">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朱小健</w:t>
            </w:r>
          </w:p>
        </w:tc>
        <w:tc>
          <w:tcPr>
            <w:tcW w:w="1417" w:type="dxa"/>
            <w:vAlign w:val="center"/>
          </w:tcPr>
          <w:p w14:paraId="7FED510B">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性    别</w:t>
            </w:r>
          </w:p>
        </w:tc>
        <w:tc>
          <w:tcPr>
            <w:tcW w:w="1843" w:type="dxa"/>
            <w:vAlign w:val="center"/>
          </w:tcPr>
          <w:p w14:paraId="5EBDE131">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男</w:t>
            </w:r>
          </w:p>
        </w:tc>
        <w:tc>
          <w:tcPr>
            <w:tcW w:w="1418" w:type="dxa"/>
            <w:vAlign w:val="center"/>
          </w:tcPr>
          <w:p w14:paraId="0750A6BC">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联系电话</w:t>
            </w:r>
          </w:p>
        </w:tc>
        <w:tc>
          <w:tcPr>
            <w:tcW w:w="1707" w:type="dxa"/>
            <w:vAlign w:val="center"/>
          </w:tcPr>
          <w:p w14:paraId="664D9BBA">
            <w:pPr>
              <w:pStyle w:val="6"/>
              <w:spacing w:line="300" w:lineRule="exact"/>
              <w:ind w:firstLine="0" w:firstLineChars="0"/>
              <w:jc w:val="center"/>
              <w:rPr>
                <w:rFonts w:hint="eastAsia"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15088849280</w:t>
            </w:r>
          </w:p>
        </w:tc>
      </w:tr>
      <w:tr w14:paraId="4A450E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652" w:type="dxa"/>
            <w:vAlign w:val="center"/>
          </w:tcPr>
          <w:p w14:paraId="3C58BF1D">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证件类型</w:t>
            </w:r>
          </w:p>
        </w:tc>
        <w:tc>
          <w:tcPr>
            <w:tcW w:w="1560" w:type="dxa"/>
            <w:vAlign w:val="center"/>
          </w:tcPr>
          <w:p w14:paraId="06EE9898">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身份证</w:t>
            </w:r>
          </w:p>
        </w:tc>
        <w:tc>
          <w:tcPr>
            <w:tcW w:w="1417" w:type="dxa"/>
            <w:vAlign w:val="center"/>
          </w:tcPr>
          <w:p w14:paraId="3D38A920">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证件号码</w:t>
            </w:r>
          </w:p>
        </w:tc>
        <w:tc>
          <w:tcPr>
            <w:tcW w:w="4968" w:type="dxa"/>
            <w:gridSpan w:val="3"/>
            <w:vAlign w:val="center"/>
          </w:tcPr>
          <w:p w14:paraId="44A3610E">
            <w:pPr>
              <w:pStyle w:val="6"/>
              <w:spacing w:line="300" w:lineRule="exact"/>
              <w:ind w:firstLine="0" w:firstLineChars="0"/>
              <w:jc w:val="center"/>
              <w:rPr>
                <w:rFonts w:hint="eastAsia"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321281198810057158</w:t>
            </w:r>
          </w:p>
        </w:tc>
      </w:tr>
      <w:tr w14:paraId="188C6C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652" w:type="dxa"/>
            <w:vAlign w:val="center"/>
          </w:tcPr>
          <w:p w14:paraId="348FCB3C">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国    籍</w:t>
            </w:r>
          </w:p>
        </w:tc>
        <w:tc>
          <w:tcPr>
            <w:tcW w:w="1560" w:type="dxa"/>
            <w:vAlign w:val="center"/>
          </w:tcPr>
          <w:p w14:paraId="37124E92">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中国</w:t>
            </w:r>
          </w:p>
        </w:tc>
        <w:tc>
          <w:tcPr>
            <w:tcW w:w="1417" w:type="dxa"/>
            <w:vAlign w:val="center"/>
          </w:tcPr>
          <w:p w14:paraId="3841F0CF">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民    族</w:t>
            </w:r>
          </w:p>
        </w:tc>
        <w:tc>
          <w:tcPr>
            <w:tcW w:w="1843" w:type="dxa"/>
            <w:vAlign w:val="center"/>
          </w:tcPr>
          <w:p w14:paraId="44CA5728">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汉</w:t>
            </w:r>
          </w:p>
        </w:tc>
        <w:tc>
          <w:tcPr>
            <w:tcW w:w="1418" w:type="dxa"/>
            <w:vAlign w:val="center"/>
          </w:tcPr>
          <w:p w14:paraId="7A9DE4EA">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政治面貌</w:t>
            </w:r>
          </w:p>
        </w:tc>
        <w:tc>
          <w:tcPr>
            <w:tcW w:w="1707" w:type="dxa"/>
            <w:vAlign w:val="center"/>
          </w:tcPr>
          <w:p w14:paraId="10763ABF">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党员</w:t>
            </w:r>
          </w:p>
        </w:tc>
      </w:tr>
      <w:tr w14:paraId="719A6D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2" w:hRule="atLeast"/>
          <w:jc w:val="center"/>
        </w:trPr>
        <w:tc>
          <w:tcPr>
            <w:tcW w:w="1652" w:type="dxa"/>
            <w:vAlign w:val="center"/>
          </w:tcPr>
          <w:p w14:paraId="14605D9D">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院    士</w:t>
            </w:r>
          </w:p>
        </w:tc>
        <w:tc>
          <w:tcPr>
            <w:tcW w:w="4820" w:type="dxa"/>
            <w:gridSpan w:val="3"/>
            <w:vAlign w:val="center"/>
          </w:tcPr>
          <w:p w14:paraId="2228A737">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否</w:t>
            </w:r>
          </w:p>
        </w:tc>
        <w:tc>
          <w:tcPr>
            <w:tcW w:w="1418" w:type="dxa"/>
            <w:vAlign w:val="center"/>
          </w:tcPr>
          <w:p w14:paraId="33452420">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当选时间</w:t>
            </w:r>
          </w:p>
        </w:tc>
        <w:tc>
          <w:tcPr>
            <w:tcW w:w="1707" w:type="dxa"/>
            <w:vAlign w:val="center"/>
          </w:tcPr>
          <w:p w14:paraId="29719EF8">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p>
        </w:tc>
      </w:tr>
      <w:tr w14:paraId="079860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2" w:hRule="atLeast"/>
          <w:jc w:val="center"/>
        </w:trPr>
        <w:tc>
          <w:tcPr>
            <w:tcW w:w="1652" w:type="dxa"/>
            <w:vAlign w:val="center"/>
          </w:tcPr>
          <w:p w14:paraId="3DE91827">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从事专业</w:t>
            </w:r>
          </w:p>
        </w:tc>
        <w:tc>
          <w:tcPr>
            <w:tcW w:w="1560" w:type="dxa"/>
            <w:vAlign w:val="center"/>
          </w:tcPr>
          <w:p w14:paraId="6FBFC469">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材料物理与化学</w:t>
            </w:r>
          </w:p>
        </w:tc>
        <w:tc>
          <w:tcPr>
            <w:tcW w:w="1417" w:type="dxa"/>
            <w:vAlign w:val="center"/>
          </w:tcPr>
          <w:p w14:paraId="2AB5F19A">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最高学历</w:t>
            </w:r>
          </w:p>
        </w:tc>
        <w:tc>
          <w:tcPr>
            <w:tcW w:w="1843" w:type="dxa"/>
            <w:vAlign w:val="center"/>
          </w:tcPr>
          <w:p w14:paraId="7AAAE9F5">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博士研究生</w:t>
            </w:r>
          </w:p>
        </w:tc>
        <w:tc>
          <w:tcPr>
            <w:tcW w:w="1418" w:type="dxa"/>
            <w:vAlign w:val="center"/>
          </w:tcPr>
          <w:p w14:paraId="36227AF1">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最高学位</w:t>
            </w:r>
          </w:p>
        </w:tc>
        <w:tc>
          <w:tcPr>
            <w:tcW w:w="1707" w:type="dxa"/>
            <w:vAlign w:val="center"/>
          </w:tcPr>
          <w:p w14:paraId="31889FAB">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博士</w:t>
            </w:r>
          </w:p>
        </w:tc>
      </w:tr>
      <w:tr w14:paraId="1EA186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652" w:type="dxa"/>
            <w:vAlign w:val="center"/>
          </w:tcPr>
          <w:p w14:paraId="5E19C0B9">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技术职称</w:t>
            </w:r>
          </w:p>
        </w:tc>
        <w:tc>
          <w:tcPr>
            <w:tcW w:w="4820" w:type="dxa"/>
            <w:gridSpan w:val="3"/>
            <w:vAlign w:val="center"/>
          </w:tcPr>
          <w:p w14:paraId="77C5649C">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正高</w:t>
            </w:r>
          </w:p>
        </w:tc>
        <w:tc>
          <w:tcPr>
            <w:tcW w:w="1418" w:type="dxa"/>
            <w:vAlign w:val="center"/>
          </w:tcPr>
          <w:p w14:paraId="440ECF91">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职    务</w:t>
            </w:r>
          </w:p>
        </w:tc>
        <w:tc>
          <w:tcPr>
            <w:tcW w:w="1707" w:type="dxa"/>
            <w:vAlign w:val="center"/>
          </w:tcPr>
          <w:p w14:paraId="6BD3B6CA">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无</w:t>
            </w:r>
          </w:p>
        </w:tc>
      </w:tr>
      <w:tr w14:paraId="5212A8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652" w:type="dxa"/>
            <w:vMerge w:val="restart"/>
            <w:vAlign w:val="center"/>
          </w:tcPr>
          <w:p w14:paraId="362B4185">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学科分类名称</w:t>
            </w:r>
          </w:p>
        </w:tc>
        <w:tc>
          <w:tcPr>
            <w:tcW w:w="1560" w:type="dxa"/>
            <w:vAlign w:val="center"/>
          </w:tcPr>
          <w:p w14:paraId="5D9969E9">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1</w:t>
            </w:r>
          </w:p>
        </w:tc>
        <w:tc>
          <w:tcPr>
            <w:tcW w:w="3260" w:type="dxa"/>
            <w:gridSpan w:val="2"/>
            <w:vAlign w:val="center"/>
          </w:tcPr>
          <w:p w14:paraId="19CB41BB">
            <w:pPr>
              <w:pStyle w:val="6"/>
              <w:spacing w:line="300" w:lineRule="exact"/>
              <w:ind w:firstLine="0" w:firstLineChars="0"/>
              <w:jc w:val="center"/>
              <w:rPr>
                <w:rFonts w:hint="eastAsia"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材料物理与化学</w:t>
            </w:r>
          </w:p>
        </w:tc>
        <w:tc>
          <w:tcPr>
            <w:tcW w:w="1418" w:type="dxa"/>
            <w:vAlign w:val="center"/>
          </w:tcPr>
          <w:p w14:paraId="4B19898F">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代    码</w:t>
            </w:r>
          </w:p>
        </w:tc>
        <w:tc>
          <w:tcPr>
            <w:tcW w:w="1707" w:type="dxa"/>
          </w:tcPr>
          <w:p w14:paraId="4BEEE706">
            <w:pPr>
              <w:pStyle w:val="6"/>
              <w:spacing w:line="300" w:lineRule="exact"/>
              <w:ind w:firstLine="0" w:firstLineChars="0"/>
              <w:jc w:val="center"/>
              <w:rPr>
                <w:rFonts w:hint="eastAsia"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080501</w:t>
            </w:r>
          </w:p>
        </w:tc>
      </w:tr>
      <w:tr w14:paraId="0AF342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652" w:type="dxa"/>
            <w:vMerge w:val="continue"/>
            <w:vAlign w:val="center"/>
          </w:tcPr>
          <w:p w14:paraId="5C2DF8AB">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p>
        </w:tc>
        <w:tc>
          <w:tcPr>
            <w:tcW w:w="1560" w:type="dxa"/>
            <w:vAlign w:val="center"/>
          </w:tcPr>
          <w:p w14:paraId="308043E8">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2</w:t>
            </w:r>
          </w:p>
        </w:tc>
        <w:tc>
          <w:tcPr>
            <w:tcW w:w="3260" w:type="dxa"/>
            <w:gridSpan w:val="2"/>
            <w:vAlign w:val="center"/>
          </w:tcPr>
          <w:p w14:paraId="4B72DCCC">
            <w:pPr>
              <w:pStyle w:val="6"/>
              <w:spacing w:line="300" w:lineRule="exact"/>
              <w:ind w:firstLine="0" w:firstLineChars="0"/>
              <w:jc w:val="center"/>
              <w:rPr>
                <w:rFonts w:hint="eastAsia"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微电子学与固体电子学</w:t>
            </w:r>
          </w:p>
        </w:tc>
        <w:tc>
          <w:tcPr>
            <w:tcW w:w="1418" w:type="dxa"/>
            <w:vAlign w:val="center"/>
          </w:tcPr>
          <w:p w14:paraId="2F969495">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代    码</w:t>
            </w:r>
          </w:p>
        </w:tc>
        <w:tc>
          <w:tcPr>
            <w:tcW w:w="1707" w:type="dxa"/>
          </w:tcPr>
          <w:p w14:paraId="7DF48E90">
            <w:pPr>
              <w:pStyle w:val="6"/>
              <w:spacing w:line="300" w:lineRule="exact"/>
              <w:ind w:firstLine="0" w:firstLineChars="0"/>
              <w:jc w:val="center"/>
              <w:rPr>
                <w:rFonts w:hint="eastAsia"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080903</w:t>
            </w:r>
          </w:p>
        </w:tc>
      </w:tr>
      <w:tr w14:paraId="689072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652" w:type="dxa"/>
            <w:vMerge w:val="continue"/>
            <w:vAlign w:val="center"/>
          </w:tcPr>
          <w:p w14:paraId="0DD68939">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p>
        </w:tc>
        <w:tc>
          <w:tcPr>
            <w:tcW w:w="1560" w:type="dxa"/>
            <w:vAlign w:val="center"/>
          </w:tcPr>
          <w:p w14:paraId="50F12E36">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3</w:t>
            </w:r>
          </w:p>
        </w:tc>
        <w:tc>
          <w:tcPr>
            <w:tcW w:w="3260" w:type="dxa"/>
            <w:gridSpan w:val="2"/>
            <w:vAlign w:val="center"/>
          </w:tcPr>
          <w:p w14:paraId="3F479DB4">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p>
        </w:tc>
        <w:tc>
          <w:tcPr>
            <w:tcW w:w="1418" w:type="dxa"/>
            <w:vAlign w:val="center"/>
          </w:tcPr>
          <w:p w14:paraId="61D33AB7">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代    码</w:t>
            </w:r>
          </w:p>
        </w:tc>
        <w:tc>
          <w:tcPr>
            <w:tcW w:w="1707" w:type="dxa"/>
          </w:tcPr>
          <w:p w14:paraId="1CFD2578">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p>
        </w:tc>
      </w:tr>
      <w:tr w14:paraId="79F080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1" w:hRule="atLeast"/>
          <w:jc w:val="center"/>
        </w:trPr>
        <w:tc>
          <w:tcPr>
            <w:tcW w:w="1652" w:type="dxa"/>
            <w:vMerge w:val="restart"/>
            <w:vAlign w:val="center"/>
          </w:tcPr>
          <w:p w14:paraId="2E19E582">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工作单位</w:t>
            </w:r>
          </w:p>
        </w:tc>
        <w:tc>
          <w:tcPr>
            <w:tcW w:w="1560" w:type="dxa"/>
            <w:vAlign w:val="center"/>
          </w:tcPr>
          <w:p w14:paraId="20F3FAD3">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名    称</w:t>
            </w:r>
          </w:p>
        </w:tc>
        <w:tc>
          <w:tcPr>
            <w:tcW w:w="6385" w:type="dxa"/>
            <w:gridSpan w:val="4"/>
            <w:vAlign w:val="center"/>
          </w:tcPr>
          <w:p w14:paraId="06AAA3B8">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中国科学院宁波材料技术与工程研究所</w:t>
            </w:r>
          </w:p>
        </w:tc>
      </w:tr>
      <w:tr w14:paraId="2033AC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1652" w:type="dxa"/>
            <w:vMerge w:val="continue"/>
          </w:tcPr>
          <w:p w14:paraId="1085406B">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p>
        </w:tc>
        <w:tc>
          <w:tcPr>
            <w:tcW w:w="1560" w:type="dxa"/>
            <w:vAlign w:val="center"/>
          </w:tcPr>
          <w:p w14:paraId="09140BEC">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通讯地址</w:t>
            </w:r>
          </w:p>
        </w:tc>
        <w:tc>
          <w:tcPr>
            <w:tcW w:w="6385" w:type="dxa"/>
            <w:gridSpan w:val="4"/>
            <w:vAlign w:val="center"/>
          </w:tcPr>
          <w:p w14:paraId="7E7DF658">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浙江省宁波市镇海区中官西路</w:t>
            </w:r>
            <w:r>
              <w:rPr>
                <w:rFonts w:ascii="Times New Roman" w:eastAsia="仿宋_GB2312"/>
                <w:color w:val="000000" w:themeColor="text1"/>
                <w:szCs w:val="24"/>
                <w14:textFill>
                  <w14:solidFill>
                    <w14:schemeClr w14:val="tx1"/>
                  </w14:solidFill>
                </w14:textFill>
              </w:rPr>
              <w:t>1219</w:t>
            </w:r>
            <w:r>
              <w:rPr>
                <w:rFonts w:hint="eastAsia" w:ascii="Times New Roman" w:eastAsia="仿宋_GB2312"/>
                <w:color w:val="000000" w:themeColor="text1"/>
                <w:szCs w:val="24"/>
                <w14:textFill>
                  <w14:solidFill>
                    <w14:schemeClr w14:val="tx1"/>
                  </w14:solidFill>
                </w14:textFill>
              </w:rPr>
              <w:t>号</w:t>
            </w:r>
          </w:p>
        </w:tc>
      </w:tr>
      <w:tr w14:paraId="0C680F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9" w:hRule="atLeast"/>
          <w:jc w:val="center"/>
        </w:trPr>
        <w:tc>
          <w:tcPr>
            <w:tcW w:w="1652" w:type="dxa"/>
            <w:vMerge w:val="continue"/>
          </w:tcPr>
          <w:p w14:paraId="5FF83F41">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p>
        </w:tc>
        <w:tc>
          <w:tcPr>
            <w:tcW w:w="1560" w:type="dxa"/>
            <w:vAlign w:val="center"/>
          </w:tcPr>
          <w:p w14:paraId="05118148">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联 系 人</w:t>
            </w:r>
          </w:p>
        </w:tc>
        <w:tc>
          <w:tcPr>
            <w:tcW w:w="3260" w:type="dxa"/>
            <w:gridSpan w:val="2"/>
            <w:vAlign w:val="center"/>
          </w:tcPr>
          <w:p w14:paraId="64EB8526">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庞琳</w:t>
            </w:r>
          </w:p>
        </w:tc>
        <w:tc>
          <w:tcPr>
            <w:tcW w:w="1418" w:type="dxa"/>
            <w:vAlign w:val="center"/>
          </w:tcPr>
          <w:p w14:paraId="47D7F45F">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联系电话</w:t>
            </w:r>
          </w:p>
        </w:tc>
        <w:tc>
          <w:tcPr>
            <w:tcW w:w="1707" w:type="dxa"/>
            <w:vAlign w:val="center"/>
          </w:tcPr>
          <w:p w14:paraId="621B8192">
            <w:pPr>
              <w:pStyle w:val="6"/>
              <w:spacing w:line="30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15545156609</w:t>
            </w:r>
          </w:p>
        </w:tc>
      </w:tr>
      <w:tr w14:paraId="6D7A4B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67" w:hRule="atLeast"/>
          <w:jc w:val="center"/>
        </w:trPr>
        <w:tc>
          <w:tcPr>
            <w:tcW w:w="9597" w:type="dxa"/>
            <w:gridSpan w:val="6"/>
          </w:tcPr>
          <w:p w14:paraId="3C74E22A">
            <w:pPr>
              <w:pStyle w:val="6"/>
              <w:spacing w:line="300" w:lineRule="exact"/>
              <w:ind w:firstLine="0" w:firstLineChars="0"/>
              <w:jc w:val="left"/>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受高等教育情况：</w:t>
            </w:r>
          </w:p>
          <w:p w14:paraId="44DF266A">
            <w:pPr>
              <w:pStyle w:val="6"/>
              <w:spacing w:line="300" w:lineRule="exact"/>
              <w:ind w:firstLine="0" w:firstLineChars="0"/>
              <w:jc w:val="left"/>
              <w:rPr>
                <w:rFonts w:hint="eastAsia" w:ascii="Times New Roman" w:eastAsia="仿宋_GB2312"/>
                <w:color w:val="000000" w:themeColor="text1"/>
                <w:szCs w:val="24"/>
                <w14:textFill>
                  <w14:solidFill>
                    <w14:schemeClr w14:val="tx1"/>
                  </w14:solidFill>
                </w14:textFill>
              </w:rPr>
            </w:pPr>
            <w:bookmarkStart w:id="1" w:name="OLE_LINK1"/>
            <w:r>
              <w:rPr>
                <w:rFonts w:hint="eastAsia" w:ascii="Times New Roman" w:eastAsia="仿宋_GB2312"/>
                <w:color w:val="000000" w:themeColor="text1"/>
                <w:szCs w:val="24"/>
                <w14:textFill>
                  <w14:solidFill>
                    <w14:schemeClr w14:val="tx1"/>
                  </w14:solidFill>
                </w14:textFill>
              </w:rPr>
              <w:t>2002-09</w:t>
            </w:r>
            <w:bookmarkEnd w:id="1"/>
            <w:r>
              <w:rPr>
                <w:rFonts w:hint="eastAsia" w:ascii="Times New Roman" w:eastAsia="仿宋_GB2312"/>
                <w:color w:val="000000" w:themeColor="text1"/>
                <w:szCs w:val="24"/>
                <w14:textFill>
                  <w14:solidFill>
                    <w14:schemeClr w14:val="tx1"/>
                  </w14:solidFill>
                </w14:textFill>
              </w:rPr>
              <w:t>至2005-07，江苏省泰州中学，学生</w:t>
            </w:r>
          </w:p>
          <w:p w14:paraId="2D7E35E7">
            <w:pPr>
              <w:pStyle w:val="6"/>
              <w:spacing w:line="300" w:lineRule="exact"/>
              <w:ind w:firstLine="0" w:firstLineChars="0"/>
              <w:jc w:val="left"/>
              <w:rPr>
                <w:rFonts w:hint="eastAsia"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2005-09至2009-07，苏州大学，物理学，学士</w:t>
            </w:r>
          </w:p>
          <w:p w14:paraId="7BE4E650">
            <w:pPr>
              <w:pStyle w:val="6"/>
              <w:spacing w:line="300" w:lineRule="exact"/>
              <w:ind w:firstLine="0" w:firstLineChars="0"/>
              <w:jc w:val="left"/>
              <w:rPr>
                <w:rFonts w:hint="eastAsia"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2009-09至2014-07，中国科学院大学，材料物理与化学，博士</w:t>
            </w:r>
          </w:p>
        </w:tc>
      </w:tr>
    </w:tbl>
    <w:p w14:paraId="37F9838A">
      <w:pPr>
        <w:jc w:val="center"/>
        <w:rPr>
          <w:rFonts w:eastAsia="黑体"/>
          <w:color w:val="000000" w:themeColor="text1"/>
          <w:sz w:val="28"/>
          <w14:textFill>
            <w14:solidFill>
              <w14:schemeClr w14:val="tx1"/>
            </w14:solidFill>
          </w14:textFill>
        </w:rPr>
      </w:pPr>
      <w:r>
        <w:rPr>
          <w:rFonts w:eastAsia="方正黑体简体"/>
          <w:color w:val="000000" w:themeColor="text1"/>
          <w:sz w:val="32"/>
          <w14:textFill>
            <w14:solidFill>
              <w14:schemeClr w14:val="tx1"/>
            </w14:solidFill>
          </w14:textFill>
        </w:rPr>
        <w:br w:type="page"/>
      </w:r>
    </w:p>
    <w:p w14:paraId="6D1268BD">
      <w:pPr>
        <w:pStyle w:val="17"/>
        <w:spacing w:line="240" w:lineRule="auto"/>
        <w:ind w:firstLine="0" w:firstLineChars="0"/>
        <w:jc w:val="center"/>
        <w:rPr>
          <w:rFonts w:ascii="Times New Roman"/>
          <w:b/>
          <w:color w:val="000000" w:themeColor="text1"/>
          <w:sz w:val="28"/>
          <w14:textFill>
            <w14:solidFill>
              <w14:schemeClr w14:val="tx1"/>
            </w14:solidFill>
          </w14:textFill>
        </w:rPr>
      </w:pPr>
      <w:r>
        <w:rPr>
          <w:rFonts w:ascii="Times New Roman" w:eastAsia="方正黑体简体"/>
          <w:color w:val="000000" w:themeColor="text1"/>
          <w:sz w:val="32"/>
          <w14:textFill>
            <w14:solidFill>
              <w14:schemeClr w14:val="tx1"/>
            </w14:solidFill>
          </w14:textFill>
        </w:rPr>
        <w:t>四、被提名人的主要科学技术成就和贡献</w:t>
      </w:r>
    </w:p>
    <w:p w14:paraId="08850084">
      <w:pPr>
        <w:pStyle w:val="6"/>
        <w:keepNext w:val="0"/>
        <w:keepLines w:val="0"/>
        <w:pageBreakBefore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自上世纪以来，硅基晶体管等电子器件的发明，极大地推动了信息技术的革命与人类社会的进步。近年来，大数据与人工智能等新兴技术快速发展，对信息器件的处理能力提出了更高要求。如何研制智能化、多功能集成（存储、计算与感知）的新型信息器件已成为重要挑战。忆阻器是一种以离子半导体为材料，具有独特电阻转变特性的纳米信息器件。外加电场下忆阻器中的离子可发生迁移，改变材料的电阻状态，模仿人脑神经元的智能化信息存储、计算与感知功能，在人形机器人、脑机接口、智能穿戴等领域具有重要应用潜力。然而，由于缺少精确控制忆阻器中离子迁移的方法，器件的电阻状态难以有效调控，导致信息存储容量小、计算速度慢与感知能力弱等问题，严重阻碍其研发进程。</w:t>
      </w:r>
    </w:p>
    <w:p w14:paraId="2C002088">
      <w:pPr>
        <w:pStyle w:val="6"/>
        <w:keepNext w:val="0"/>
        <w:keepLines w:val="0"/>
        <w:pageBreakBefore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针对以上问题，申请人聚焦忆阻器的基础理论与关键技术研究，通过创新发展离子迁移过程的精准控制方法，实现了电阻状态的多级、快速、高灵敏调控，突破了忆阻器的存储容量、计算速度与感知能力瓶颈，为大数据和人工智能技术的发展提供有力支撑。共发表SCI论文70 余篇，第一/通讯作者论文发表在Nature Materials、Nature Communications、Advanced Materials、ACS Nano、Nano Letters等期刊，总引用4000余次，研究成果多次被Science、Nature Electronics、Nature Nanotechnology等期刊正面评价，</w:t>
      </w:r>
      <w:bookmarkStart w:id="2" w:name="OLE_LINK15"/>
      <w:r>
        <w:rPr>
          <w:rFonts w:hint="eastAsia" w:ascii="仿宋_GB2312" w:hAnsi="仿宋_GB2312" w:eastAsia="仿宋_GB2312" w:cs="仿宋_GB2312"/>
          <w:bCs/>
          <w:color w:val="000000" w:themeColor="text1"/>
          <w:sz w:val="28"/>
          <w:szCs w:val="28"/>
          <w14:textFill>
            <w14:solidFill>
              <w14:schemeClr w14:val="tx1"/>
            </w14:solidFill>
          </w14:textFill>
        </w:rPr>
        <w:t>受到Science Daily等国际科技媒体专题报道。</w:t>
      </w:r>
      <w:bookmarkEnd w:id="2"/>
      <w:r>
        <w:rPr>
          <w:rFonts w:hint="eastAsia" w:ascii="仿宋_GB2312" w:hAnsi="仿宋_GB2312" w:eastAsia="仿宋_GB2312" w:cs="仿宋_GB2312"/>
          <w:bCs/>
          <w:color w:val="000000" w:themeColor="text1"/>
          <w:sz w:val="28"/>
          <w:szCs w:val="28"/>
          <w14:textFill>
            <w14:solidFill>
              <w14:schemeClr w14:val="tx1"/>
            </w14:solidFill>
          </w14:textFill>
        </w:rPr>
        <w:t>入选国家高层次青年人才计划，主持国家自然科学基金2项（重大研究计划-培育项目、面上）、浙江省自然科学基金1项（重大）、中国科学院上海分院青年攀登计划、宁波市科技项目2项。作为课题负责人承担中国科学院稳定支持青年团队、国自然联合基金重点项目。</w:t>
      </w:r>
      <w:bookmarkStart w:id="3" w:name="OLE_LINK14"/>
      <w:r>
        <w:rPr>
          <w:rFonts w:hint="eastAsia" w:ascii="仿宋_GB2312" w:hAnsi="仿宋_GB2312" w:eastAsia="仿宋_GB2312" w:cs="仿宋_GB2312"/>
          <w:bCs/>
          <w:color w:val="000000" w:themeColor="text1"/>
          <w:sz w:val="28"/>
          <w:szCs w:val="28"/>
          <w14:textFill>
            <w14:solidFill>
              <w14:schemeClr w14:val="tx1"/>
            </w14:solidFill>
          </w14:textFill>
        </w:rPr>
        <w:t>获浙江省自然科学一等奖（2021）、中国电子学会科学技术二等奖（2018</w:t>
      </w:r>
      <w:r>
        <w:rPr>
          <w:rFonts w:hint="eastAsia" w:ascii="仿宋_GB2312" w:hAnsi="仿宋_GB2312" w:eastAsia="仿宋_GB2312" w:cs="仿宋_GB2312"/>
          <w:bCs/>
          <w:sz w:val="28"/>
          <w:szCs w:val="28"/>
        </w:rPr>
        <w:t>）</w:t>
      </w:r>
      <w:bookmarkStart w:id="4" w:name="OLE_LINK8"/>
      <w:bookmarkStart w:id="5" w:name="OLE_LINK3"/>
      <w:r>
        <w:rPr>
          <w:rFonts w:hint="eastAsia" w:ascii="仿宋_GB2312" w:hAnsi="仿宋_GB2312" w:eastAsia="仿宋_GB2312" w:cs="仿宋_GB2312"/>
          <w:bCs/>
          <w:sz w:val="28"/>
          <w:szCs w:val="28"/>
        </w:rPr>
        <w:t>、宁波市科学技术一等奖（2018）</w:t>
      </w:r>
      <w:bookmarkEnd w:id="4"/>
      <w:r>
        <w:rPr>
          <w:rFonts w:hint="eastAsia" w:ascii="仿宋_GB2312" w:hAnsi="仿宋_GB2312" w:eastAsia="仿宋_GB2312" w:cs="仿宋_GB2312"/>
          <w:bCs/>
          <w:sz w:val="28"/>
          <w:szCs w:val="28"/>
        </w:rPr>
        <w:t>、宁波市科学技术二等奖（2015）、中国电子学</w:t>
      </w:r>
      <w:r>
        <w:rPr>
          <w:rFonts w:hint="eastAsia" w:ascii="仿宋_GB2312" w:hAnsi="仿宋_GB2312" w:eastAsia="仿宋_GB2312" w:cs="仿宋_GB2312"/>
          <w:bCs/>
          <w:color w:val="000000" w:themeColor="text1"/>
          <w:sz w:val="28"/>
          <w:szCs w:val="28"/>
          <w14:textFill>
            <w14:solidFill>
              <w14:schemeClr w14:val="tx1"/>
            </w14:solidFill>
          </w14:textFill>
        </w:rPr>
        <w:t>会优博论文奖（2016）</w:t>
      </w:r>
      <w:bookmarkEnd w:id="5"/>
      <w:r>
        <w:rPr>
          <w:rFonts w:hint="eastAsia" w:ascii="仿宋_GB2312" w:hAnsi="仿宋_GB2312" w:eastAsia="仿宋_GB2312" w:cs="仿宋_GB2312"/>
          <w:bCs/>
          <w:color w:val="000000" w:themeColor="text1"/>
          <w:sz w:val="28"/>
          <w:szCs w:val="28"/>
          <w14:textFill>
            <w14:solidFill>
              <w14:schemeClr w14:val="tx1"/>
            </w14:solidFill>
          </w14:textFill>
        </w:rPr>
        <w:t>、中国科学院优博论文奖（2015）、中国科学院院长优秀奖（2014），</w:t>
      </w:r>
      <w:bookmarkEnd w:id="3"/>
      <w:r>
        <w:rPr>
          <w:rFonts w:hint="eastAsia" w:ascii="仿宋_GB2312" w:hAnsi="仿宋_GB2312" w:eastAsia="仿宋_GB2312" w:cs="仿宋_GB2312"/>
          <w:bCs/>
          <w:color w:val="000000" w:themeColor="text1"/>
          <w:sz w:val="28"/>
          <w:szCs w:val="28"/>
          <w14:textFill>
            <w14:solidFill>
              <w14:schemeClr w14:val="tx1"/>
            </w14:solidFill>
          </w14:textFill>
        </w:rPr>
        <w:t>担任浙江省青年高层次人才协会新材料专家委员会委员以及Nature Electronics等期刊审稿人。</w:t>
      </w:r>
    </w:p>
    <w:p w14:paraId="414487B2">
      <w:pPr>
        <w:pStyle w:val="17"/>
        <w:keepNext w:val="0"/>
        <w:keepLines w:val="0"/>
        <w:pageBreakBefore w:val="0"/>
        <w:kinsoku/>
        <w:wordWrap/>
        <w:overflowPunct/>
        <w:topLinePunct w:val="0"/>
        <w:autoSpaceDE/>
        <w:autoSpaceDN/>
        <w:bidi w:val="0"/>
        <w:adjustRightInd/>
        <w:snapToGrid/>
        <w:spacing w:before="50" w:after="50" w:line="560" w:lineRule="exact"/>
        <w:ind w:firstLine="0" w:firstLineChars="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主要学术成果如下：</w:t>
      </w:r>
    </w:p>
    <w:p w14:paraId="7D169998">
      <w:pPr>
        <w:pStyle w:val="17"/>
        <w:keepNext w:val="0"/>
        <w:keepLines w:val="0"/>
        <w:pageBreakBefore w:val="0"/>
        <w:kinsoku/>
        <w:wordWrap/>
        <w:overflowPunct/>
        <w:topLinePunct w:val="0"/>
        <w:autoSpaceDE/>
        <w:autoSpaceDN/>
        <w:bidi w:val="0"/>
        <w:adjustRightInd/>
        <w:snapToGrid/>
        <w:spacing w:before="50" w:after="50" w:line="560" w:lineRule="exact"/>
        <w:ind w:firstLine="482"/>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一、针对忆阻器存储容量小的问题，提出了局域电场控制原子尺度下离子分布的新策略，建立了基于多级电导调控的数据存储新原理，为实现大容量信息存储提供重要科学依据。</w:t>
      </w:r>
    </w:p>
    <w:p w14:paraId="64F61C94">
      <w:pPr>
        <w:pStyle w:val="17"/>
        <w:keepNext w:val="0"/>
        <w:keepLines w:val="0"/>
        <w:pageBreakBefore w:val="0"/>
        <w:kinsoku/>
        <w:wordWrap/>
        <w:overflowPunct/>
        <w:topLinePunct w:val="0"/>
        <w:autoSpaceDE/>
        <w:autoSpaceDN/>
        <w:bidi w:val="0"/>
        <w:adjustRightInd/>
        <w:snapToGrid/>
        <w:spacing w:before="50" w:after="50" w:line="5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忆阻器可利用电场控制离子分布形成纳米尺寸</w:t>
      </w:r>
      <w:r>
        <w:rPr>
          <w:rFonts w:hint="eastAsia" w:ascii="仿宋_GB2312" w:hAnsi="仿宋_GB2312" w:eastAsia="仿宋_GB2312" w:cs="仿宋_GB2312"/>
          <w:color w:val="000000" w:themeColor="text1"/>
          <w:sz w:val="28"/>
          <w:szCs w:val="28"/>
          <w14:textFill>
            <w14:solidFill>
              <w14:schemeClr w14:val="tx1"/>
            </w14:solidFill>
          </w14:textFill>
        </w:rPr>
        <w:t>的导电通道，通过控制其通/断，产生高/低电阻状态，实现数据存储。然而，高/低两态仅能用于“0/1”二值存储，存储容量难以提升。为此，申请人提出了“利用局域电场在原子尺度控制离子分布，控制导电通道通断”的新策略，采用纳米导电探针施加局域电场控制银离子的分布，在忆阻器中构筑了一维单原子银导电通道。由于通道尺寸接近原子大小，其电子能级分裂，器件的电导值集中在整数或者半整数倍G</w:t>
      </w:r>
      <w:r>
        <w:rPr>
          <w:rFonts w:hint="eastAsia" w:ascii="仿宋_GB2312" w:hAnsi="仿宋_GB2312" w:eastAsia="仿宋_GB2312" w:cs="仿宋_GB2312"/>
          <w:color w:val="000000" w:themeColor="text1"/>
          <w:sz w:val="28"/>
          <w:szCs w:val="28"/>
          <w:vertAlign w:val="subscript"/>
          <w14:textFill>
            <w14:solidFill>
              <w14:schemeClr w14:val="tx1"/>
            </w14:solidFill>
          </w14:textFill>
        </w:rPr>
        <w:t>0</w:t>
      </w:r>
      <w:r>
        <w:rPr>
          <w:rFonts w:hint="eastAsia" w:ascii="仿宋_GB2312" w:hAnsi="仿宋_GB2312" w:eastAsia="仿宋_GB2312" w:cs="仿宋_GB2312"/>
          <w:color w:val="000000" w:themeColor="text1"/>
          <w:sz w:val="28"/>
          <w:szCs w:val="28"/>
          <w14:textFill>
            <w14:solidFill>
              <w14:schemeClr w14:val="tx1"/>
            </w14:solidFill>
          </w14:textFill>
        </w:rPr>
        <w:t>【G</w:t>
      </w:r>
      <w:r>
        <w:rPr>
          <w:rFonts w:hint="eastAsia" w:ascii="仿宋_GB2312" w:hAnsi="仿宋_GB2312" w:eastAsia="仿宋_GB2312" w:cs="仿宋_GB2312"/>
          <w:color w:val="000000" w:themeColor="text1"/>
          <w:sz w:val="28"/>
          <w:szCs w:val="28"/>
          <w:vertAlign w:val="subscript"/>
          <w14:textFill>
            <w14:solidFill>
              <w14:schemeClr w14:val="tx1"/>
            </w14:solidFill>
          </w14:textFill>
        </w:rPr>
        <w:t>0</w:t>
      </w:r>
      <w:r>
        <w:rPr>
          <w:rFonts w:hint="eastAsia" w:ascii="仿宋_GB2312" w:hAnsi="仿宋_GB2312" w:eastAsia="仿宋_GB2312" w:cs="仿宋_GB2312"/>
          <w:color w:val="000000" w:themeColor="text1"/>
          <w:sz w:val="28"/>
          <w:szCs w:val="28"/>
          <w14:textFill>
            <w14:solidFill>
              <w14:schemeClr w14:val="tx1"/>
            </w14:solidFill>
          </w14:textFill>
        </w:rPr>
        <w:t xml:space="preserve"> = 2e</w:t>
      </w:r>
      <w:r>
        <w:rPr>
          <w:rFonts w:hint="eastAsia" w:ascii="仿宋_GB2312" w:hAnsi="仿宋_GB2312" w:eastAsia="仿宋_GB2312" w:cs="仿宋_GB2312"/>
          <w:color w:val="000000" w:themeColor="text1"/>
          <w:sz w:val="28"/>
          <w:szCs w:val="28"/>
          <w:vertAlign w:val="superscript"/>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h，e-电子带电量，h-普朗克常数】，进而在国际上首次发现了忆阻器的电导量子化效应。进一步，提出“通过精确施加脉冲电场，逐级调节导电通道尺寸”的新方法，实现了电阻状态的多级调制，在单个忆阻器中获得了10个稳定的量子电导态，相比于传统“二值”存储，容量提升5倍。该忆阻器具有良好的稳定性，可用于模仿大脑神经元的存储与记忆特性，其人工神经网络能够执行十种不同图像的分类任务，识别准确率达89%，为构筑高精度、微型化人工智能芯片提供有效支撑。</w:t>
      </w:r>
    </w:p>
    <w:p w14:paraId="123DF4C1">
      <w:pPr>
        <w:pStyle w:val="17"/>
        <w:keepNext w:val="0"/>
        <w:keepLines w:val="0"/>
        <w:pageBreakBefore w:val="0"/>
        <w:kinsoku/>
        <w:wordWrap/>
        <w:overflowPunct/>
        <w:topLinePunct w:val="0"/>
        <w:autoSpaceDE/>
        <w:autoSpaceDN/>
        <w:bidi w:val="0"/>
        <w:adjustRightInd/>
        <w:snapToGrid/>
        <w:spacing w:before="50" w:after="50" w:line="5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相关论文发表于</w:t>
      </w:r>
      <w:r>
        <w:rPr>
          <w:rFonts w:hint="eastAsia" w:ascii="仿宋_GB2312" w:hAnsi="仿宋_GB2312" w:eastAsia="仿宋_GB2312" w:cs="仿宋_GB2312"/>
          <w:color w:val="000000" w:themeColor="text1"/>
          <w:sz w:val="28"/>
          <w:szCs w:val="28"/>
          <w:u w:val="single"/>
          <w14:textFill>
            <w14:solidFill>
              <w14:schemeClr w14:val="tx1"/>
            </w14:solidFill>
          </w14:textFill>
        </w:rPr>
        <w:t>Advanced Materials、ACS Nano、</w:t>
      </w:r>
      <w:bookmarkStart w:id="6" w:name="OLE_LINK5"/>
      <w:r>
        <w:rPr>
          <w:rFonts w:hint="eastAsia" w:ascii="仿宋_GB2312" w:hAnsi="仿宋_GB2312" w:eastAsia="仿宋_GB2312" w:cs="仿宋_GB2312"/>
          <w:iCs/>
          <w:color w:val="000000" w:themeColor="text1"/>
          <w:sz w:val="28"/>
          <w:szCs w:val="28"/>
          <w:u w:val="single"/>
          <w14:textFill>
            <w14:solidFill>
              <w14:schemeClr w14:val="tx1"/>
            </w14:solidFill>
          </w14:textFill>
        </w:rPr>
        <w:t>Journal Of Physics D: applied Physics</w:t>
      </w:r>
      <w:bookmarkEnd w:id="6"/>
      <w:r>
        <w:rPr>
          <w:rFonts w:hint="eastAsia" w:ascii="仿宋_GB2312" w:hAnsi="仿宋_GB2312" w:eastAsia="仿宋_GB2312" w:cs="仿宋_GB2312"/>
          <w:iCs/>
          <w:color w:val="000000" w:themeColor="text1"/>
          <w:sz w:val="28"/>
          <w:szCs w:val="28"/>
          <w:u w:val="single"/>
          <w14:textFill>
            <w14:solidFill>
              <w14:schemeClr w14:val="tx1"/>
            </w14:solidFill>
          </w14:textFill>
        </w:rPr>
        <w:t>、Applied Physics Reviews</w:t>
      </w:r>
      <w:r>
        <w:rPr>
          <w:rFonts w:hint="eastAsia" w:ascii="仿宋_GB2312" w:hAnsi="仿宋_GB2312" w:eastAsia="仿宋_GB2312" w:cs="仿宋_GB2312"/>
          <w:color w:val="000000" w:themeColor="text1"/>
          <w:sz w:val="28"/>
          <w:szCs w:val="28"/>
          <w14:textFill>
            <w14:solidFill>
              <w14:schemeClr w14:val="tx1"/>
            </w14:solidFill>
          </w14:textFill>
        </w:rPr>
        <w:t>等期刊。</w:t>
      </w:r>
      <w:r>
        <w:rPr>
          <w:rFonts w:hint="eastAsia" w:ascii="仿宋_GB2312" w:hAnsi="仿宋_GB2312" w:eastAsia="仿宋_GB2312" w:cs="仿宋_GB2312"/>
          <w:bCs/>
          <w:color w:val="000000" w:themeColor="text1"/>
          <w:sz w:val="28"/>
          <w:szCs w:val="28"/>
          <w14:textFill>
            <w14:solidFill>
              <w14:schemeClr w14:val="tx1"/>
            </w14:solidFill>
          </w14:textFill>
        </w:rPr>
        <w:t>获浙江省自然科学一等奖（2021）、中国电子学会科学技术二等奖（2018</w:t>
      </w:r>
      <w:r>
        <w:rPr>
          <w:rFonts w:hint="eastAsia" w:ascii="仿宋_GB2312" w:hAnsi="仿宋_GB2312" w:eastAsia="仿宋_GB2312" w:cs="仿宋_GB2312"/>
          <w:bCs/>
          <w:sz w:val="28"/>
          <w:szCs w:val="28"/>
        </w:rPr>
        <w:t>）、中国电子学</w:t>
      </w:r>
      <w:r>
        <w:rPr>
          <w:rFonts w:hint="eastAsia" w:ascii="仿宋_GB2312" w:hAnsi="仿宋_GB2312" w:eastAsia="仿宋_GB2312" w:cs="仿宋_GB2312"/>
          <w:bCs/>
          <w:color w:val="000000" w:themeColor="text1"/>
          <w:sz w:val="28"/>
          <w:szCs w:val="28"/>
          <w14:textFill>
            <w14:solidFill>
              <w14:schemeClr w14:val="tx1"/>
            </w14:solidFill>
          </w14:textFill>
        </w:rPr>
        <w:t>会优博论文奖（2016）、中国科学院院长优秀奖（2014）等。</w:t>
      </w:r>
    </w:p>
    <w:p w14:paraId="007192B7">
      <w:pPr>
        <w:pStyle w:val="17"/>
        <w:keepNext w:val="0"/>
        <w:keepLines w:val="0"/>
        <w:pageBreakBefore w:val="0"/>
        <w:kinsoku/>
        <w:wordWrap/>
        <w:overflowPunct/>
        <w:topLinePunct w:val="0"/>
        <w:autoSpaceDE/>
        <w:autoSpaceDN/>
        <w:bidi w:val="0"/>
        <w:adjustRightInd/>
        <w:snapToGrid/>
        <w:spacing w:before="50" w:after="50" w:line="560" w:lineRule="exact"/>
        <w:textAlignment w:val="auto"/>
        <w:rPr>
          <w:rFonts w:hint="eastAsia" w:ascii="仿宋_GB2312" w:hAnsi="仿宋_GB2312" w:eastAsia="仿宋_GB2312" w:cs="仿宋_GB2312"/>
          <w:color w:val="EE000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【学术评价与影响】：韩国科学技术研究院（KAST）Hyunsang Hwang院士【Small 2021,17,2006760】评价：“（该成果）为实现单原子逻辑电路和存储器提供了新方法”；</w:t>
      </w:r>
      <w:r>
        <w:rPr>
          <w:rFonts w:hint="eastAsia" w:ascii="仿宋_GB2312" w:hAnsi="仿宋_GB2312" w:eastAsia="仿宋_GB2312" w:cs="仿宋_GB2312"/>
          <w:sz w:val="28"/>
          <w:szCs w:val="28"/>
        </w:rPr>
        <w:t>英国伦敦大学学院A. J. Kenyon教授【Sci. Rep. 2013,3,2708】评价：“不仅为深入研究电荷输运和物理起源提供了可能，对研发半导体多态存储器、量子信息处理器件以及神经仿生器件具有重大意义”。</w:t>
      </w:r>
    </w:p>
    <w:p w14:paraId="297C4550">
      <w:pPr>
        <w:pStyle w:val="17"/>
        <w:keepNext w:val="0"/>
        <w:keepLines w:val="0"/>
        <w:pageBreakBefore w:val="0"/>
        <w:kinsoku/>
        <w:wordWrap/>
        <w:overflowPunct/>
        <w:topLinePunct w:val="0"/>
        <w:autoSpaceDE/>
        <w:autoSpaceDN/>
        <w:bidi w:val="0"/>
        <w:adjustRightInd/>
        <w:snapToGrid/>
        <w:spacing w:before="156" w:beforeLines="50" w:after="156" w:afterLines="50" w:line="560" w:lineRule="exact"/>
        <w:ind w:firstLine="482"/>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二、针对忆阻器计算速度慢的问题，创制了基于快离子半导体的忆阻半导体材料，发展了基于电导弛豫与积分的时序信号计算新方法，为实现高速动态信号处理提供重要技术。</w:t>
      </w:r>
    </w:p>
    <w:p w14:paraId="7896D873">
      <w:pPr>
        <w:pStyle w:val="17"/>
        <w:keepNext w:val="0"/>
        <w:keepLines w:val="0"/>
        <w:pageBreakBefore w:val="0"/>
        <w:kinsoku/>
        <w:wordWrap/>
        <w:overflowPunct/>
        <w:topLinePunct w:val="0"/>
        <w:autoSpaceDE/>
        <w:autoSpaceDN/>
        <w:bidi w:val="0"/>
        <w:adjustRightInd/>
        <w:snapToGrid/>
        <w:spacing w:before="50" w:after="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忆阻器可利用离子扩散产生的电阻弛豫特性，对动态电激励信号进行非线性变换和时间积分计算，模仿大脑神经元对复杂时序信号的处理方式。该方法计算效率高、泛化能力强，在目标监测、语音识别等方面具有重要应用。然而，传统忆阻器采用氧离子半导体等材料构筑，离子扩散缓慢，电阻弛豫时间长达分钟至小时，难以用于高速信息处理。为此，申请人提出“创制基于快离子半导体的新型动态忆阻材料，利用离子快速扩散加快电导弛豫”的新策略，选用具有超低离子激活能（0.2 ev）的快离子半导体钙钛矿碘化铯铅材料（CsPbI</w:t>
      </w:r>
      <w:r>
        <w:rPr>
          <w:rFonts w:hint="eastAsia" w:ascii="仿宋_GB2312" w:hAnsi="仿宋_GB2312" w:eastAsia="仿宋_GB2312" w:cs="仿宋_GB2312"/>
          <w:sz w:val="28"/>
          <w:szCs w:val="28"/>
          <w:vertAlign w:val="subscript"/>
        </w:rPr>
        <w:t>3</w:t>
      </w:r>
      <w:r>
        <w:rPr>
          <w:rFonts w:hint="eastAsia" w:ascii="仿宋_GB2312" w:hAnsi="仿宋_GB2312" w:eastAsia="仿宋_GB2312" w:cs="仿宋_GB2312"/>
          <w:sz w:val="28"/>
          <w:szCs w:val="28"/>
        </w:rPr>
        <w:t>）和高电化学活性的金属银（Ag）电极相结合，构建了高速动态忆阻器。在</w:t>
      </w:r>
      <w:bookmarkStart w:id="7" w:name="OLE_LINK12"/>
      <w:r>
        <w:rPr>
          <w:rFonts w:hint="eastAsia" w:ascii="仿宋_GB2312" w:hAnsi="仿宋_GB2312" w:eastAsia="仿宋_GB2312" w:cs="仿宋_GB2312"/>
          <w:sz w:val="28"/>
          <w:szCs w:val="28"/>
        </w:rPr>
        <w:t>幅值为</w:t>
      </w:r>
      <w:bookmarkEnd w:id="7"/>
      <w:r>
        <w:rPr>
          <w:rFonts w:hint="eastAsia" w:ascii="仿宋_GB2312" w:hAnsi="仿宋_GB2312" w:eastAsia="仿宋_GB2312" w:cs="仿宋_GB2312"/>
          <w:sz w:val="28"/>
          <w:szCs w:val="28"/>
        </w:rPr>
        <w:t>100 毫伏、脉宽为2毫秒的电脉冲下，碘离子可快速迁移，并在电脉冲撤去后快速扩散，电阻弛豫时间≤100毫秒。该器件能够以毫秒级精度提取复杂脑电信号的频率、时间间隔等特征参数，对脑神经信号的多种放电模式进行实时监测与识别，用于脑机接口研究。进一步提出了“构建多端晶体管结构的忆阻器，对多通道动态信息并行处理”的新思路，通过器件结构设计，对多组输入信号并行解析，实现了对人体运动时产生丰富生理信号（如步态、呼吸、心跳等）的实时计算分析，并成功预测了帕金森综合征等疾病，准确率87%。</w:t>
      </w:r>
      <w:bookmarkStart w:id="8" w:name="OLE_LINK10"/>
      <w:r>
        <w:rPr>
          <w:rFonts w:hint="eastAsia" w:ascii="仿宋_GB2312" w:hAnsi="仿宋_GB2312" w:eastAsia="仿宋_GB2312" w:cs="仿宋_GB2312"/>
          <w:sz w:val="28"/>
          <w:szCs w:val="28"/>
        </w:rPr>
        <w:t>该成果为研制高速智能可穿戴设备，实时、便捷监测人体健康状态和预防疾病提供重要手段。</w:t>
      </w:r>
    </w:p>
    <w:bookmarkEnd w:id="8"/>
    <w:p w14:paraId="4DFAA8D1">
      <w:pPr>
        <w:pStyle w:val="17"/>
        <w:keepNext w:val="0"/>
        <w:keepLines w:val="0"/>
        <w:pageBreakBefore w:val="0"/>
        <w:kinsoku/>
        <w:wordWrap/>
        <w:overflowPunct/>
        <w:topLinePunct w:val="0"/>
        <w:autoSpaceDE/>
        <w:autoSpaceDN/>
        <w:bidi w:val="0"/>
        <w:adjustRightInd/>
        <w:snapToGrid/>
        <w:spacing w:before="50" w:after="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相关论文发表于</w:t>
      </w:r>
      <w:r>
        <w:rPr>
          <w:rFonts w:hint="eastAsia" w:ascii="仿宋_GB2312" w:hAnsi="仿宋_GB2312" w:eastAsia="仿宋_GB2312" w:cs="仿宋_GB2312"/>
          <w:sz w:val="28"/>
          <w:szCs w:val="28"/>
          <w:u w:val="single"/>
        </w:rPr>
        <w:t>Nature Materials、Nature Communications、Advanced Science、ACS Nano</w:t>
      </w:r>
      <w:r>
        <w:rPr>
          <w:rFonts w:hint="eastAsia" w:ascii="仿宋_GB2312" w:hAnsi="仿宋_GB2312" w:eastAsia="仿宋_GB2312" w:cs="仿宋_GB2312"/>
          <w:sz w:val="28"/>
          <w:szCs w:val="28"/>
        </w:rPr>
        <w:t xml:space="preserve"> 等期刊，单篇论文最高他引540次，</w:t>
      </w:r>
      <w:r>
        <w:rPr>
          <w:rFonts w:hint="eastAsia" w:ascii="仿宋_GB2312" w:hAnsi="仿宋_GB2312" w:eastAsia="仿宋_GB2312" w:cs="仿宋_GB2312"/>
          <w:bCs/>
          <w:color w:val="000000" w:themeColor="text1"/>
          <w:sz w:val="28"/>
          <w:szCs w:val="28"/>
          <w14:textFill>
            <w14:solidFill>
              <w14:schemeClr w14:val="tx1"/>
            </w14:solidFill>
          </w14:textFill>
        </w:rPr>
        <w:t>被Science Daily等国际科技媒体专题报道。</w:t>
      </w:r>
    </w:p>
    <w:p w14:paraId="6CACB433">
      <w:pPr>
        <w:pStyle w:val="17"/>
        <w:keepNext w:val="0"/>
        <w:keepLines w:val="0"/>
        <w:pageBreakBefore w:val="0"/>
        <w:kinsoku/>
        <w:wordWrap/>
        <w:overflowPunct/>
        <w:topLinePunct w:val="0"/>
        <w:autoSpaceDE/>
        <w:autoSpaceDN/>
        <w:bidi w:val="0"/>
        <w:adjustRightInd/>
        <w:snapToGrid/>
        <w:spacing w:before="50" w:after="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【学术评价与影响】：阿卜杜拉国王科技大学Mario Lanza教授【Science 2022, 376, 1066】评价：“基于钙钛矿材料的动态忆阻器实现了神经信号的实时分析”；中国科学院院士黄如教授【Nat. Electron. 2022, 5, 761】认为我们“在忆阻器处理时序数据方面取得了显著进展”；</w:t>
      </w:r>
      <w:bookmarkStart w:id="9" w:name="OLE_LINK13"/>
      <w:r>
        <w:rPr>
          <w:rFonts w:hint="eastAsia" w:ascii="仿宋_GB2312" w:hAnsi="仿宋_GB2312" w:eastAsia="仿宋_GB2312" w:cs="仿宋_GB2312"/>
          <w:sz w:val="28"/>
          <w:szCs w:val="28"/>
        </w:rPr>
        <w:t>美国工程院院士、艺术与科学院院士、西北大学Mark C Hersam教授【Nat. Nanotechnol. 2020, 15, 517】评价认为该器件“实现了多输入、原位时空信息处理”。</w:t>
      </w:r>
      <w:bookmarkEnd w:id="9"/>
    </w:p>
    <w:p w14:paraId="40EC307F">
      <w:pPr>
        <w:pStyle w:val="17"/>
        <w:keepNext w:val="0"/>
        <w:keepLines w:val="0"/>
        <w:pageBreakBefore w:val="0"/>
        <w:kinsoku/>
        <w:wordWrap/>
        <w:overflowPunct/>
        <w:topLinePunct w:val="0"/>
        <w:autoSpaceDE/>
        <w:autoSpaceDN/>
        <w:bidi w:val="0"/>
        <w:adjustRightInd/>
        <w:snapToGrid/>
        <w:spacing w:before="156" w:beforeLines="50" w:after="156" w:afterLines="50" w:line="560" w:lineRule="exact"/>
        <w:ind w:firstLine="482"/>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三、针对忆阻器感知灵敏度低的问题，提出了利用电场、光照协同调节离子空位浓度与电荷俘获的新策略，发展了光电导的高灵敏和可重构调控新方法，为模仿人眼视觉神经元的注意力感知功能提供关键技术。</w:t>
      </w:r>
    </w:p>
    <w:p w14:paraId="7187BAA6">
      <w:pPr>
        <w:pStyle w:val="17"/>
        <w:keepNext w:val="0"/>
        <w:keepLines w:val="0"/>
        <w:pageBreakBefore w:val="0"/>
        <w:kinsoku/>
        <w:wordWrap/>
        <w:overflowPunct/>
        <w:topLinePunct w:val="0"/>
        <w:autoSpaceDE/>
        <w:autoSpaceDN/>
        <w:bidi w:val="0"/>
        <w:adjustRightInd/>
        <w:snapToGrid/>
        <w:spacing w:before="50" w:after="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忆阻器中的离子空位可俘获空间电荷，在光照下被激发，产生光电导响应，模仿人眼视觉神经元的感知功能。然而，传统忆阻器受光照激发时，光电导动态变化范围仅有数倍大小，对光刺激的响应灵敏度较低。为此，申请人提出“采用电场控制离子空位聚集形成导电通道，增强俘获电荷对光照响应能力”的新策略，利用电场驱动碘离子空位聚集，形成纳米导电通道，发现光照下导电通道中碘离子空位俘获的电荷被激发可促使导电通道断裂，光电导的变化幅值高达10</w:t>
      </w:r>
      <w:r>
        <w:rPr>
          <w:rFonts w:hint="eastAsia" w:ascii="仿宋_GB2312" w:hAnsi="仿宋_GB2312" w:eastAsia="仿宋_GB2312" w:cs="仿宋_GB2312"/>
          <w:sz w:val="28"/>
          <w:szCs w:val="28"/>
          <w:vertAlign w:val="superscript"/>
        </w:rPr>
        <w:t>6</w:t>
      </w:r>
      <w:r>
        <w:rPr>
          <w:rFonts w:hint="eastAsia" w:ascii="仿宋_GB2312" w:hAnsi="仿宋_GB2312" w:eastAsia="仿宋_GB2312" w:cs="仿宋_GB2312"/>
          <w:sz w:val="28"/>
          <w:szCs w:val="28"/>
        </w:rPr>
        <w:t>。该器件能够有效模仿人眼视觉神经元的对光照的感知行为，灵敏度提升3个数量级以上。进一步，提出“利用电压调节离子空位浓度，获得灵敏度可调节光电导”的新思路，通过外加电压驱动离子空位的迁移与分布，调节离子空位的浓度，实现了光响应灵敏度的可逆调控，动态范围高达1400%。该忆阻器适用于模仿人眼视觉神经元的注意力感知机制，通过自适应调节光响应灵敏度，实现对目标物的光感知增强和对冗余物的光感知抑制，将人脸图像识别准确率提高13%。该成果为研制高灵敏、自适应类人视觉感知系统提供了全新的思路与方法。</w:t>
      </w:r>
    </w:p>
    <w:p w14:paraId="02A33830">
      <w:pPr>
        <w:pStyle w:val="17"/>
        <w:keepNext w:val="0"/>
        <w:keepLines w:val="0"/>
        <w:pageBreakBefore w:val="0"/>
        <w:kinsoku/>
        <w:wordWrap/>
        <w:overflowPunct/>
        <w:topLinePunct w:val="0"/>
        <w:autoSpaceDE/>
        <w:autoSpaceDN/>
        <w:bidi w:val="0"/>
        <w:adjustRightInd/>
        <w:snapToGrid/>
        <w:spacing w:before="50" w:after="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相关论文发表于</w:t>
      </w:r>
      <w:r>
        <w:rPr>
          <w:rFonts w:hint="eastAsia" w:ascii="仿宋_GB2312" w:hAnsi="仿宋_GB2312" w:eastAsia="仿宋_GB2312" w:cs="仿宋_GB2312"/>
          <w:sz w:val="28"/>
          <w:szCs w:val="28"/>
          <w:u w:val="single"/>
        </w:rPr>
        <w:t>Advanced Materials、ACS Nano、Nano Letters</w:t>
      </w:r>
      <w:r>
        <w:rPr>
          <w:rFonts w:hint="eastAsia" w:ascii="仿宋_GB2312" w:hAnsi="仿宋_GB2312" w:eastAsia="仿宋_GB2312" w:cs="仿宋_GB2312"/>
          <w:sz w:val="28"/>
          <w:szCs w:val="28"/>
        </w:rPr>
        <w:t>等期刊。</w:t>
      </w:r>
    </w:p>
    <w:p w14:paraId="00471C25">
      <w:pPr>
        <w:keepNext w:val="0"/>
        <w:keepLines w:val="0"/>
        <w:pageBreakBefore w:val="0"/>
        <w:widowControl/>
        <w:kinsoku/>
        <w:wordWrap/>
        <w:overflowPunct/>
        <w:topLinePunct w:val="0"/>
        <w:autoSpaceDE/>
        <w:autoSpaceDN/>
        <w:bidi w:val="0"/>
        <w:adjustRightInd/>
        <w:snapToGrid/>
        <w:spacing w:before="50" w:after="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【学术评价与影响】：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波兰克拉科夫 AGH科技大学的 K. Szacilowski 教授【Nanoscale, 2019, 11, 1080】评价本工作： “交叉了光电子学和忆阻器技术，开辟了一片全新的研究领域”；美国斯坦福大学鲍哲南院士【Sci. Adv. 2018,4,eaat7387】评价：“光感知将成为仿生电子器件的重要功能”；中国科学院院士杨德仁教授【Nano Energy. 2019,63,103859】评价：“将光引入到忆阻器操作中，不仅显著拓宽器件的光带宽，还有效缓解了器件的互连问题”。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2698AD-F0EC-421C-A9B4-4788E4C35D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7C8AD0C-E8D2-4D21-A505-0E61B872D95A}"/>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altName w:val="方正小标宋简体"/>
    <w:panose1 w:val="00000000000000000000"/>
    <w:charset w:val="86"/>
    <w:family w:val="auto"/>
    <w:pitch w:val="default"/>
    <w:sig w:usb0="00000000" w:usb1="0000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embedRegular r:id="rId3" w:fontKey="{F0AD9F3F-CD09-46FA-BF23-01D714896294}"/>
  </w:font>
  <w:font w:name="微软雅黑">
    <w:panose1 w:val="020B0503020204020204"/>
    <w:charset w:val="86"/>
    <w:family w:val="swiss"/>
    <w:pitch w:val="default"/>
    <w:sig w:usb0="80000287" w:usb1="2ACF3C50" w:usb2="00000016" w:usb3="00000000" w:csb0="0004001F" w:csb1="00000000"/>
  </w:font>
  <w:font w:name="___WRD_EMBED_SUB_45">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方正小标宋_GBK">
    <w:altName w:val="方正小标宋_GBK"/>
    <w:panose1 w:val="02000000000000000000"/>
    <w:charset w:val="86"/>
    <w:family w:val="auto"/>
    <w:pitch w:val="default"/>
    <w:sig w:usb0="A00002BF" w:usb1="38CF7CFA" w:usb2="00082016" w:usb3="00000000" w:csb0="00040001" w:csb1="00000000"/>
    <w:embedRegular r:id="rId4" w:fontKey="{22B55F10-DDBD-4C83-B672-7567271ADA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E6"/>
    <w:rsid w:val="000058BA"/>
    <w:rsid w:val="000212B8"/>
    <w:rsid w:val="00022906"/>
    <w:rsid w:val="00035C0C"/>
    <w:rsid w:val="00047AEA"/>
    <w:rsid w:val="00075F9E"/>
    <w:rsid w:val="000C2303"/>
    <w:rsid w:val="000D5112"/>
    <w:rsid w:val="00101054"/>
    <w:rsid w:val="00116673"/>
    <w:rsid w:val="00152D14"/>
    <w:rsid w:val="0015365C"/>
    <w:rsid w:val="00154A00"/>
    <w:rsid w:val="00170456"/>
    <w:rsid w:val="00170775"/>
    <w:rsid w:val="001A7D26"/>
    <w:rsid w:val="001A7D57"/>
    <w:rsid w:val="001B46EB"/>
    <w:rsid w:val="001D4826"/>
    <w:rsid w:val="001F4196"/>
    <w:rsid w:val="001F7241"/>
    <w:rsid w:val="002019E6"/>
    <w:rsid w:val="00276DF8"/>
    <w:rsid w:val="002804A9"/>
    <w:rsid w:val="002806BC"/>
    <w:rsid w:val="002932DF"/>
    <w:rsid w:val="002F3D31"/>
    <w:rsid w:val="002F5F37"/>
    <w:rsid w:val="00333E6F"/>
    <w:rsid w:val="0035354E"/>
    <w:rsid w:val="00371512"/>
    <w:rsid w:val="003776EC"/>
    <w:rsid w:val="00382FF7"/>
    <w:rsid w:val="00384F8B"/>
    <w:rsid w:val="003913E9"/>
    <w:rsid w:val="0044746B"/>
    <w:rsid w:val="0045350E"/>
    <w:rsid w:val="00460034"/>
    <w:rsid w:val="004A1F99"/>
    <w:rsid w:val="00502DC3"/>
    <w:rsid w:val="00506F05"/>
    <w:rsid w:val="00541401"/>
    <w:rsid w:val="0054301E"/>
    <w:rsid w:val="00587B6A"/>
    <w:rsid w:val="005961CA"/>
    <w:rsid w:val="00597221"/>
    <w:rsid w:val="005B7267"/>
    <w:rsid w:val="005C161F"/>
    <w:rsid w:val="005C2338"/>
    <w:rsid w:val="005C41DC"/>
    <w:rsid w:val="005C5C73"/>
    <w:rsid w:val="005D5241"/>
    <w:rsid w:val="006049BF"/>
    <w:rsid w:val="00617B50"/>
    <w:rsid w:val="00632F91"/>
    <w:rsid w:val="00652F69"/>
    <w:rsid w:val="00661C2F"/>
    <w:rsid w:val="00662A97"/>
    <w:rsid w:val="00667011"/>
    <w:rsid w:val="00681DEF"/>
    <w:rsid w:val="006B6391"/>
    <w:rsid w:val="006F4599"/>
    <w:rsid w:val="00705D1E"/>
    <w:rsid w:val="00705F8A"/>
    <w:rsid w:val="007174F4"/>
    <w:rsid w:val="0074484C"/>
    <w:rsid w:val="00753FDC"/>
    <w:rsid w:val="00791A35"/>
    <w:rsid w:val="007B16A1"/>
    <w:rsid w:val="007C112F"/>
    <w:rsid w:val="007C2617"/>
    <w:rsid w:val="007F25EE"/>
    <w:rsid w:val="00800E4A"/>
    <w:rsid w:val="00827704"/>
    <w:rsid w:val="00834978"/>
    <w:rsid w:val="00862A80"/>
    <w:rsid w:val="00863264"/>
    <w:rsid w:val="00876FFD"/>
    <w:rsid w:val="008B42B0"/>
    <w:rsid w:val="008C0597"/>
    <w:rsid w:val="008D757C"/>
    <w:rsid w:val="008E39C8"/>
    <w:rsid w:val="008E720D"/>
    <w:rsid w:val="00912728"/>
    <w:rsid w:val="009167DA"/>
    <w:rsid w:val="00921182"/>
    <w:rsid w:val="009403C0"/>
    <w:rsid w:val="00961494"/>
    <w:rsid w:val="009676AD"/>
    <w:rsid w:val="00970382"/>
    <w:rsid w:val="00990FAF"/>
    <w:rsid w:val="009B0377"/>
    <w:rsid w:val="009B0C13"/>
    <w:rsid w:val="009B16BB"/>
    <w:rsid w:val="009B6C8C"/>
    <w:rsid w:val="00A05853"/>
    <w:rsid w:val="00A17A46"/>
    <w:rsid w:val="00A252E7"/>
    <w:rsid w:val="00A30D3D"/>
    <w:rsid w:val="00A36DBB"/>
    <w:rsid w:val="00A53F2F"/>
    <w:rsid w:val="00A540FC"/>
    <w:rsid w:val="00A66AC1"/>
    <w:rsid w:val="00A77DB1"/>
    <w:rsid w:val="00AA4B72"/>
    <w:rsid w:val="00AA52DB"/>
    <w:rsid w:val="00AB62F4"/>
    <w:rsid w:val="00AC5ED3"/>
    <w:rsid w:val="00AF2FCB"/>
    <w:rsid w:val="00AF5A27"/>
    <w:rsid w:val="00B145A9"/>
    <w:rsid w:val="00B61098"/>
    <w:rsid w:val="00B647A1"/>
    <w:rsid w:val="00B75083"/>
    <w:rsid w:val="00BC01B8"/>
    <w:rsid w:val="00BD6E03"/>
    <w:rsid w:val="00BF6966"/>
    <w:rsid w:val="00C303FB"/>
    <w:rsid w:val="00C67178"/>
    <w:rsid w:val="00C75A19"/>
    <w:rsid w:val="00C92161"/>
    <w:rsid w:val="00C95C75"/>
    <w:rsid w:val="00CD5866"/>
    <w:rsid w:val="00CF040C"/>
    <w:rsid w:val="00D17395"/>
    <w:rsid w:val="00D218D7"/>
    <w:rsid w:val="00D82CFF"/>
    <w:rsid w:val="00DC1804"/>
    <w:rsid w:val="00DD19C4"/>
    <w:rsid w:val="00DE178E"/>
    <w:rsid w:val="00E05561"/>
    <w:rsid w:val="00E06950"/>
    <w:rsid w:val="00E22371"/>
    <w:rsid w:val="00E3077D"/>
    <w:rsid w:val="00E309E6"/>
    <w:rsid w:val="00E31EAE"/>
    <w:rsid w:val="00EB61C5"/>
    <w:rsid w:val="00EF4A7B"/>
    <w:rsid w:val="00F065E3"/>
    <w:rsid w:val="00F21715"/>
    <w:rsid w:val="00F61987"/>
    <w:rsid w:val="00F744FD"/>
    <w:rsid w:val="00FA55E4"/>
    <w:rsid w:val="00FC3A3A"/>
    <w:rsid w:val="00FD02C8"/>
    <w:rsid w:val="00FF54CB"/>
    <w:rsid w:val="012316D3"/>
    <w:rsid w:val="03462F07"/>
    <w:rsid w:val="07B93C8A"/>
    <w:rsid w:val="093544C2"/>
    <w:rsid w:val="0AF066C6"/>
    <w:rsid w:val="0D3606B5"/>
    <w:rsid w:val="0D8724CB"/>
    <w:rsid w:val="177E1C99"/>
    <w:rsid w:val="1A166F21"/>
    <w:rsid w:val="1A382C97"/>
    <w:rsid w:val="1A910F20"/>
    <w:rsid w:val="1BB9458C"/>
    <w:rsid w:val="1CA35B03"/>
    <w:rsid w:val="27F70559"/>
    <w:rsid w:val="2C02412C"/>
    <w:rsid w:val="2D1C190C"/>
    <w:rsid w:val="31D65C28"/>
    <w:rsid w:val="35F7291E"/>
    <w:rsid w:val="382C6135"/>
    <w:rsid w:val="3B802B0C"/>
    <w:rsid w:val="3FE86B66"/>
    <w:rsid w:val="402C329F"/>
    <w:rsid w:val="404417FC"/>
    <w:rsid w:val="40D11184"/>
    <w:rsid w:val="41CD3503"/>
    <w:rsid w:val="43E40A3F"/>
    <w:rsid w:val="45902746"/>
    <w:rsid w:val="464E2715"/>
    <w:rsid w:val="48684EBF"/>
    <w:rsid w:val="488F47DF"/>
    <w:rsid w:val="48BE4B21"/>
    <w:rsid w:val="494103EF"/>
    <w:rsid w:val="4A0A430E"/>
    <w:rsid w:val="4B164DDA"/>
    <w:rsid w:val="4F2E1207"/>
    <w:rsid w:val="50A56CB1"/>
    <w:rsid w:val="5167040A"/>
    <w:rsid w:val="51DF39E9"/>
    <w:rsid w:val="576657E9"/>
    <w:rsid w:val="5AEA3C95"/>
    <w:rsid w:val="5C5376C1"/>
    <w:rsid w:val="5C716E94"/>
    <w:rsid w:val="5CF37BF9"/>
    <w:rsid w:val="5F97FA7C"/>
    <w:rsid w:val="612732D1"/>
    <w:rsid w:val="631518BE"/>
    <w:rsid w:val="646B6AFF"/>
    <w:rsid w:val="65510D5D"/>
    <w:rsid w:val="68396774"/>
    <w:rsid w:val="694158BA"/>
    <w:rsid w:val="6B636D38"/>
    <w:rsid w:val="6B6847B5"/>
    <w:rsid w:val="6C0109E0"/>
    <w:rsid w:val="6F2A035C"/>
    <w:rsid w:val="70B501E2"/>
    <w:rsid w:val="71A62846"/>
    <w:rsid w:val="74AC0AC0"/>
    <w:rsid w:val="752B5127"/>
    <w:rsid w:val="75966A9D"/>
    <w:rsid w:val="77E8017E"/>
    <w:rsid w:val="781225CE"/>
    <w:rsid w:val="7CD51E1C"/>
    <w:rsid w:val="7D245A53"/>
    <w:rsid w:val="7E5C4BB8"/>
    <w:rsid w:val="7F92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qFormat/>
    <w:uiPriority w:val="0"/>
    <w:pPr>
      <w:widowControl/>
      <w:jc w:val="left"/>
    </w:pPr>
  </w:style>
  <w:style w:type="paragraph" w:styleId="5">
    <w:name w:val="Body Text"/>
    <w:basedOn w:val="1"/>
    <w:next w:val="1"/>
    <w:semiHidden/>
    <w:qFormat/>
    <w:uiPriority w:val="0"/>
    <w:pPr>
      <w:spacing w:after="120"/>
    </w:pPr>
  </w:style>
  <w:style w:type="paragraph" w:styleId="6">
    <w:name w:val="Plain Text"/>
    <w:basedOn w:val="1"/>
    <w:link w:val="21"/>
    <w:qFormat/>
    <w:uiPriority w:val="0"/>
    <w:pPr>
      <w:spacing w:line="360" w:lineRule="auto"/>
      <w:ind w:firstLine="480" w:firstLineChars="200"/>
    </w:pPr>
    <w:rPr>
      <w:rFonts w:ascii="仿宋_GB2312"/>
      <w:sz w:val="24"/>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annotation reference"/>
    <w:basedOn w:val="14"/>
    <w:qFormat/>
    <w:uiPriority w:val="0"/>
    <w:rPr>
      <w:rFonts w:ascii="Calibri" w:hAnsi="Calibri" w:eastAsia="宋体" w:cs="Times New Roman"/>
      <w:sz w:val="21"/>
      <w:szCs w:val="21"/>
    </w:rPr>
  </w:style>
  <w:style w:type="paragraph" w:customStyle="1" w:styleId="17">
    <w:name w:val="_Style 8"/>
    <w:basedOn w:val="1"/>
    <w:next w:val="1"/>
    <w:qFormat/>
    <w:uiPriority w:val="0"/>
    <w:pPr>
      <w:spacing w:line="360" w:lineRule="auto"/>
      <w:ind w:firstLine="480" w:firstLineChars="200"/>
    </w:pPr>
    <w:rPr>
      <w:rFonts w:ascii="仿宋_GB2312"/>
      <w:sz w:val="24"/>
    </w:rPr>
  </w:style>
  <w:style w:type="character" w:customStyle="1" w:styleId="18">
    <w:name w:val="页眉 字符"/>
    <w:basedOn w:val="14"/>
    <w:link w:val="8"/>
    <w:qFormat/>
    <w:uiPriority w:val="0"/>
    <w:rPr>
      <w:rFonts w:asciiTheme="minorHAnsi" w:hAnsiTheme="minorHAnsi" w:eastAsiaTheme="minorEastAsia" w:cstheme="minorBidi"/>
      <w:sz w:val="18"/>
      <w:szCs w:val="18"/>
    </w:rPr>
  </w:style>
  <w:style w:type="character" w:customStyle="1" w:styleId="19">
    <w:name w:val="页脚 字符"/>
    <w:basedOn w:val="14"/>
    <w:link w:val="7"/>
    <w:qFormat/>
    <w:uiPriority w:val="0"/>
    <w:rPr>
      <w:rFonts w:asciiTheme="minorHAnsi" w:hAnsiTheme="minorHAnsi" w:eastAsiaTheme="minorEastAsia" w:cstheme="minorBidi"/>
      <w:sz w:val="18"/>
      <w:szCs w:val="18"/>
    </w:rPr>
  </w:style>
  <w:style w:type="character" w:customStyle="1" w:styleId="20">
    <w:name w:val="标题 2 字符"/>
    <w:basedOn w:val="14"/>
    <w:link w:val="3"/>
    <w:qFormat/>
    <w:uiPriority w:val="9"/>
    <w:rPr>
      <w:rFonts w:asciiTheme="majorHAnsi" w:hAnsiTheme="majorHAnsi" w:eastAsiaTheme="majorEastAsia" w:cstheme="majorBidi"/>
      <w:b/>
      <w:bCs/>
      <w:sz w:val="32"/>
      <w:szCs w:val="32"/>
    </w:rPr>
  </w:style>
  <w:style w:type="character" w:customStyle="1" w:styleId="21">
    <w:name w:val="纯文本 字符"/>
    <w:basedOn w:val="14"/>
    <w:link w:val="6"/>
    <w:qFormat/>
    <w:uiPriority w:val="0"/>
    <w:rPr>
      <w:rFonts w:ascii="仿宋_GB2312" w:hAnsiTheme="minorHAnsi" w:eastAsiaTheme="minorEastAsia" w:cstheme="minorBidi"/>
      <w:sz w:val="24"/>
    </w:rPr>
  </w:style>
  <w:style w:type="character" w:customStyle="1" w:styleId="22">
    <w:name w:val="标题 1 字符"/>
    <w:basedOn w:val="14"/>
    <w:link w:val="2"/>
    <w:qFormat/>
    <w:uiPriority w:val="0"/>
    <w:rPr>
      <w:rFonts w:asciiTheme="minorHAnsi" w:hAnsiTheme="minorHAnsi" w:eastAsiaTheme="minorEastAsia" w:cstheme="minorBidi"/>
      <w:b/>
      <w:bCs/>
      <w:kern w:val="44"/>
      <w:sz w:val="44"/>
      <w:szCs w:val="44"/>
    </w:rPr>
  </w:style>
  <w:style w:type="paragraph" w:customStyle="1" w:styleId="2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4">
    <w:name w:val="List Paragraph"/>
    <w:basedOn w:val="1"/>
    <w:semiHidden/>
    <w:unhideWhenUsed/>
    <w:qFormat/>
    <w:uiPriority w:val="99"/>
    <w:pPr>
      <w:ind w:firstLine="420" w:firstLineChars="200"/>
    </w:pPr>
    <w:rPr>
      <w:rFonts w:ascii="仿宋_GB2312" w:eastAsia="仿宋_GB2312"/>
      <w:spacing w:val="-4"/>
      <w:sz w:val="32"/>
    </w:rPr>
  </w:style>
  <w:style w:type="character" w:customStyle="1" w:styleId="25">
    <w:name w:val="批注文字 字符"/>
    <w:basedOn w:val="14"/>
    <w:link w:val="4"/>
    <w:semiHidden/>
    <w:qFormat/>
    <w:uiPriority w:val="99"/>
    <w:rPr>
      <w:rFonts w:asciiTheme="minorHAnsi" w:hAnsiTheme="minorHAnsi" w:eastAsiaTheme="minorEastAsia" w:cstheme="minorBidi"/>
    </w:rPr>
  </w:style>
  <w:style w:type="paragraph" w:customStyle="1" w:styleId="26">
    <w:name w:val="样式1"/>
    <w:basedOn w:val="1"/>
    <w:qFormat/>
    <w:uiPriority w:val="0"/>
    <w:pPr>
      <w:spacing w:line="600" w:lineRule="exact"/>
      <w:ind w:firstLine="200" w:firstLineChars="200"/>
    </w:pPr>
    <w:rPr>
      <w:rFonts w:eastAsia="方正仿宋简体"/>
      <w:bCs/>
      <w:snapToGrid w:val="0"/>
      <w:kern w:val="0"/>
      <w:sz w:val="32"/>
      <w:szCs w:val="32"/>
    </w:rPr>
  </w:style>
  <w:style w:type="character" w:customStyle="1" w:styleId="27">
    <w:name w:val="纯文本 Char"/>
    <w:qFormat/>
    <w:uiPriority w:val="0"/>
    <w:rPr>
      <w:rFonts w:ascii="仿宋_GB2312" w:hAnsiTheme="minorHAnsi" w:eastAsiaTheme="minorEastAsia" w:cstheme="minorBidi"/>
      <w:kern w:val="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7915</Words>
  <Characters>10335</Characters>
  <Lines>2163</Lines>
  <Paragraphs>807</Paragraphs>
  <TotalTime>111</TotalTime>
  <ScaleCrop>false</ScaleCrop>
  <LinksUpToDate>false</LinksUpToDate>
  <CharactersWithSpaces>11135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2025-08-19T05:20:00Z</dcterms:created>
  <dc:creator>白～</dc:creator>
  <cp:lastModifiedBy>喵小咪</cp:lastModifiedBy>
  <dcterms:modified xsi:type="dcterms:W3CDTF">2025-08-19T07:21:42Z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C02839DE4E084651A6D58125495D2184_13</vt:lpwstr>
  </property>
  <property fmtid="{D5CDD505-2E9C-101B-9397-08002B2CF9AE}" pid="4" name="KSOTemplateDocerSaveRecord">
    <vt:lpwstr>eyJoZGlkIjoiZmE0NzEzMGFjM2Y1NDY3MTg3MzEyYjAzMTk0YmY4YzMiLCJ1c2VySWQiOiI0NTI1NjgwNzQifQ==</vt:lpwstr>
  </property>
</Properties>
</file>